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D3278" w14:textId="5A6FE832" w:rsidR="001416F0" w:rsidRPr="00056209" w:rsidRDefault="00813A6B" w:rsidP="00056209">
      <w:pPr>
        <w:pStyle w:val="WW-BodyTextIndent2"/>
        <w:ind w:left="0"/>
        <w:jc w:val="center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1212850</wp:posOffset>
                </wp:positionV>
                <wp:extent cx="6515100" cy="77089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7ECA3" w14:textId="77777777" w:rsidR="009F2C03" w:rsidRPr="00813A6B" w:rsidRDefault="009F2C03" w:rsidP="00813A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Pupil Development Grant Statement 2025-2026</w:t>
                            </w:r>
                          </w:p>
                          <w:p w14:paraId="652DE1A2" w14:textId="77777777" w:rsidR="009F2C03" w:rsidRDefault="009F2C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purpose of the Pupil Development Grant is to improve the educational attainment of pupils from low income families who are entitled to free school meals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eFSM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). School are expected to maximise the use of this funding by introducing s</w:t>
                            </w:r>
                            <w:r w:rsidR="00F02988">
                              <w:rPr>
                                <w:rFonts w:ascii="Comic Sans MS" w:hAnsi="Comic Sans MS"/>
                              </w:rPr>
                              <w:t>us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tainable strategies which will lead to improved outcomes for these pupils.</w:t>
                            </w:r>
                          </w:p>
                          <w:p w14:paraId="2C35FB70" w14:textId="77777777" w:rsidR="009F2C03" w:rsidRDefault="00F0298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For</w:t>
                            </w:r>
                            <w:r w:rsidR="009F2C03">
                              <w:rPr>
                                <w:rFonts w:ascii="Comic Sans MS" w:hAnsi="Comic Sans MS"/>
                              </w:rPr>
                              <w:t xml:space="preserve"> 2025-2026, we have been </w:t>
                            </w:r>
                            <w:r w:rsidR="009F2C03" w:rsidRPr="0017422A">
                              <w:rPr>
                                <w:rFonts w:ascii="Comic Sans MS" w:hAnsi="Comic Sans MS"/>
                              </w:rPr>
                              <w:t>allocated £</w:t>
                            </w:r>
                            <w:r w:rsidR="0017422A" w:rsidRPr="0017422A">
                              <w:rPr>
                                <w:rFonts w:ascii="Comic Sans MS" w:hAnsi="Comic Sans MS"/>
                              </w:rPr>
                              <w:t>196,650</w:t>
                            </w:r>
                            <w:r w:rsidR="009F2C03" w:rsidRPr="0017422A">
                              <w:rPr>
                                <w:rFonts w:ascii="Comic Sans MS" w:hAnsi="Comic Sans MS"/>
                              </w:rPr>
                              <w:t xml:space="preserve"> PDG</w:t>
                            </w:r>
                            <w:r w:rsidR="009F2C03">
                              <w:rPr>
                                <w:rFonts w:ascii="Comic Sans MS" w:hAnsi="Comic Sans MS"/>
                              </w:rPr>
                              <w:t xml:space="preserve"> funding.</w:t>
                            </w:r>
                          </w:p>
                          <w:p w14:paraId="2DFBCDA2" w14:textId="77777777" w:rsidR="009F2C03" w:rsidRDefault="00F02988" w:rsidP="00813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Our focus </w:t>
                            </w:r>
                            <w:r w:rsidR="00813A6B">
                              <w:rPr>
                                <w:rFonts w:ascii="Comic Sans MS" w:hAnsi="Comic Sans MS"/>
                              </w:rPr>
                              <w:t xml:space="preserve">when planning expenditure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is based on:</w:t>
                            </w:r>
                          </w:p>
                          <w:p w14:paraId="300C8071" w14:textId="77777777" w:rsidR="00F02988" w:rsidRPr="00813A6B" w:rsidRDefault="00F02988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 xml:space="preserve">Developing high quality teaching and </w:t>
                            </w:r>
                            <w:r w:rsidR="00813A6B" w:rsidRPr="00813A6B">
                              <w:rPr>
                                <w:rFonts w:ascii="Comic Sans MS" w:hAnsi="Comic Sans MS"/>
                              </w:rPr>
                              <w:t>learning</w:t>
                            </w:r>
                          </w:p>
                          <w:p w14:paraId="6AA8388E" w14:textId="77777777" w:rsidR="00F02988" w:rsidRPr="00813A6B" w:rsidRDefault="00F02988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 xml:space="preserve">Developing community </w:t>
                            </w:r>
                            <w:r w:rsidR="00813A6B" w:rsidRPr="00813A6B">
                              <w:rPr>
                                <w:rFonts w:ascii="Comic Sans MS" w:hAnsi="Comic Sans MS"/>
                              </w:rPr>
                              <w:t>focus</w:t>
                            </w:r>
                            <w:r w:rsidRPr="00813A6B">
                              <w:rPr>
                                <w:rFonts w:ascii="Comic Sans MS" w:hAnsi="Comic Sans MS"/>
                              </w:rPr>
                              <w:t xml:space="preserve"> sc</w:t>
                            </w:r>
                            <w:r w:rsidR="00813A6B" w:rsidRPr="00813A6B">
                              <w:rPr>
                                <w:rFonts w:ascii="Comic Sans MS" w:hAnsi="Comic Sans MS"/>
                              </w:rPr>
                              <w:t>hool</w:t>
                            </w:r>
                            <w:r w:rsidRPr="00813A6B"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  <w:p w14:paraId="528E80B1" w14:textId="77777777" w:rsidR="00F02988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Developing</w:t>
                            </w:r>
                            <w:r w:rsidR="00F02988" w:rsidRPr="00813A6B">
                              <w:rPr>
                                <w:rFonts w:ascii="Comic Sans MS" w:hAnsi="Comic Sans MS"/>
                              </w:rPr>
                              <w:t xml:space="preserve"> early childhood pla</w:t>
                            </w:r>
                            <w:r w:rsidRPr="00813A6B">
                              <w:rPr>
                                <w:rFonts w:ascii="Comic Sans MS" w:hAnsi="Comic Sans MS"/>
                              </w:rPr>
                              <w:t>y, leaning and care</w:t>
                            </w:r>
                          </w:p>
                          <w:p w14:paraId="3FEBEFBA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Developing high aspiration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813A6B">
                              <w:rPr>
                                <w:rFonts w:ascii="Comic Sans MS" w:hAnsi="Comic Sans MS"/>
                              </w:rPr>
                              <w:t xml:space="preserve"> supported by strong relationships</w:t>
                            </w:r>
                          </w:p>
                          <w:p w14:paraId="59587BD9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Develop health and well-being</w:t>
                            </w:r>
                          </w:p>
                          <w:p w14:paraId="32942666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Leadership</w:t>
                            </w:r>
                          </w:p>
                          <w:p w14:paraId="7891E67A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Developing our approach to Curriculum for Wales</w:t>
                            </w:r>
                          </w:p>
                          <w:p w14:paraId="1043C4D8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Support pupils’ social and emotional well-being</w:t>
                            </w:r>
                          </w:p>
                          <w:p w14:paraId="12E342F3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Improving physical development</w:t>
                            </w:r>
                          </w:p>
                          <w:p w14:paraId="338C2BC3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Developing speech and language and communication skills</w:t>
                            </w:r>
                          </w:p>
                          <w:p w14:paraId="23779642" w14:textId="77777777" w:rsidR="00813A6B" w:rsidRPr="00813A6B" w:rsidRDefault="00813A6B" w:rsidP="00813A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13A6B">
                              <w:rPr>
                                <w:rFonts w:ascii="Comic Sans MS" w:hAnsi="Comic Sans MS"/>
                              </w:rPr>
                              <w:t>Improving the educational attainment of CLA pupils</w:t>
                            </w:r>
                          </w:p>
                          <w:p w14:paraId="3DCC2137" w14:textId="77777777" w:rsidR="009F2C03" w:rsidRDefault="009F2C03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Gwenfro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School has a comprehensive plan, agreed and monitored by Governors and the LA, to promote high expectations, attainment and progress, and to remove barriers to learning for pupil</w:t>
                            </w:r>
                            <w:r w:rsidR="00813A6B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entitled to this funding. </w:t>
                            </w:r>
                          </w:p>
                          <w:p w14:paraId="5B232082" w14:textId="77777777" w:rsidR="009F2C03" w:rsidRPr="0037196D" w:rsidRDefault="009F2C03" w:rsidP="00596675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37196D">
                              <w:rPr>
                                <w:rFonts w:ascii="Comic Sans MS" w:hAnsi="Comic Sans MS"/>
                              </w:rPr>
                              <w:t>Strategies funded by this grant are:</w:t>
                            </w:r>
                          </w:p>
                          <w:p w14:paraId="6DA2F9C9" w14:textId="77777777" w:rsidR="00704A00" w:rsidRPr="0037196D" w:rsidRDefault="00704A00" w:rsidP="00596675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7196D">
                              <w:rPr>
                                <w:sz w:val="22"/>
                                <w:szCs w:val="22"/>
                              </w:rPr>
                              <w:t xml:space="preserve">Improve pupil access and use of digital platforms to support Learning for </w:t>
                            </w:r>
                            <w:proofErr w:type="spellStart"/>
                            <w:r w:rsidR="0037196D" w:rsidRPr="0037196D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37196D">
                              <w:rPr>
                                <w:sz w:val="22"/>
                                <w:szCs w:val="22"/>
                              </w:rPr>
                              <w:t>FSM</w:t>
                            </w:r>
                            <w:proofErr w:type="spellEnd"/>
                            <w:r w:rsidRPr="0037196D">
                              <w:rPr>
                                <w:sz w:val="22"/>
                                <w:szCs w:val="22"/>
                              </w:rPr>
                              <w:t xml:space="preserve"> pupils</w:t>
                            </w:r>
                          </w:p>
                          <w:p w14:paraId="205576B4" w14:textId="77777777" w:rsidR="0037196D" w:rsidRPr="0037196D" w:rsidRDefault="0037196D" w:rsidP="0037196D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7196D">
                              <w:rPr>
                                <w:sz w:val="22"/>
                                <w:szCs w:val="22"/>
                              </w:rPr>
                              <w:t xml:space="preserve">Improve class support for pupils who are </w:t>
                            </w:r>
                            <w:proofErr w:type="spellStart"/>
                            <w:r w:rsidRPr="0037196D">
                              <w:rPr>
                                <w:sz w:val="22"/>
                                <w:szCs w:val="22"/>
                              </w:rPr>
                              <w:t>eFSM</w:t>
                            </w:r>
                            <w:proofErr w:type="spellEnd"/>
                          </w:p>
                          <w:p w14:paraId="09B79369" w14:textId="77777777" w:rsidR="0037196D" w:rsidRPr="0037196D" w:rsidRDefault="0037196D" w:rsidP="0037196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7196D">
                              <w:rPr>
                                <w:rFonts w:ascii="Comic Sans MS" w:hAnsi="Comic Sans MS"/>
                              </w:rPr>
                              <w:t>Continue to develop provision to support improved learning opportunities in line with Curriculum for Wales</w:t>
                            </w:r>
                          </w:p>
                          <w:p w14:paraId="629EE993" w14:textId="77777777" w:rsidR="0037196D" w:rsidRPr="0037196D" w:rsidRDefault="0037196D" w:rsidP="0037196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7196D">
                              <w:rPr>
                                <w:rFonts w:ascii="Comic Sans MS" w:hAnsi="Comic Sans MS"/>
                              </w:rPr>
                              <w:t>To continue to support and encourage reading for pleasure</w:t>
                            </w:r>
                          </w:p>
                          <w:p w14:paraId="0573A2B8" w14:textId="77777777" w:rsidR="0037196D" w:rsidRPr="0037196D" w:rsidRDefault="0037196D" w:rsidP="0037196D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7196D">
                              <w:rPr>
                                <w:sz w:val="22"/>
                                <w:szCs w:val="22"/>
                              </w:rPr>
                              <w:t>To continue to develop the role of the Family Engagement Officer in supporting pupils and their families</w:t>
                            </w:r>
                          </w:p>
                          <w:p w14:paraId="4036190D" w14:textId="77777777" w:rsidR="0037196D" w:rsidRPr="0037196D" w:rsidRDefault="0037196D" w:rsidP="0037196D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7196D">
                              <w:rPr>
                                <w:sz w:val="22"/>
                                <w:szCs w:val="22"/>
                              </w:rPr>
                              <w:t xml:space="preserve">To provide financial support families to access curriculum and well-being enrichment  </w:t>
                            </w:r>
                          </w:p>
                          <w:p w14:paraId="766BE801" w14:textId="77777777" w:rsidR="0037196D" w:rsidRPr="0037196D" w:rsidRDefault="0037196D" w:rsidP="0037196D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7196D">
                              <w:rPr>
                                <w:sz w:val="22"/>
                                <w:szCs w:val="22"/>
                              </w:rPr>
                              <w:t xml:space="preserve">Improve pupil’s emotional wellbeing </w:t>
                            </w:r>
                          </w:p>
                          <w:p w14:paraId="24B057DD" w14:textId="77777777" w:rsidR="0037196D" w:rsidRPr="0037196D" w:rsidRDefault="0037196D" w:rsidP="0037196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7196D">
                              <w:rPr>
                                <w:rFonts w:ascii="Comic Sans MS" w:hAnsi="Comic Sans MS"/>
                              </w:rPr>
                              <w:t>To continue to develop provision to support self-regulation and emotional well-being of pupils</w:t>
                            </w:r>
                          </w:p>
                          <w:p w14:paraId="1C278989" w14:textId="77777777" w:rsidR="0037196D" w:rsidRPr="0037196D" w:rsidRDefault="0037196D" w:rsidP="0037196D">
                            <w:pPr>
                              <w:pStyle w:val="BodyTextIndent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D414DA" w14:textId="77777777" w:rsidR="0037196D" w:rsidRPr="0037196D" w:rsidRDefault="0037196D" w:rsidP="0037196D">
                            <w:pPr>
                              <w:pStyle w:val="BodyTextIndent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A30BEFE" w14:textId="77777777" w:rsidR="0037196D" w:rsidRPr="0037196D" w:rsidRDefault="0037196D" w:rsidP="0037196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B1C0145" w14:textId="77777777" w:rsidR="0037196D" w:rsidRPr="0037196D" w:rsidRDefault="0037196D" w:rsidP="0037196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C699C98" w14:textId="77777777" w:rsidR="0037196D" w:rsidRPr="0037196D" w:rsidRDefault="0037196D" w:rsidP="0037196D">
                            <w:pPr>
                              <w:pStyle w:val="BodyTextIndent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371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95.5pt;width:513pt;height:6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" stroked="f">
                <v:textbox>
                  <w:txbxContent>
                    <w:p w14:paraId="20A7ECA3" w14:textId="77777777" w:rsidR="009F2C03" w:rsidRPr="00813A6B" w:rsidRDefault="009F2C03" w:rsidP="00813A6B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13A6B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Pupil Development Grant Statement 2025-2026</w:t>
                      </w:r>
                    </w:p>
                    <w:p w14:paraId="652DE1A2" w14:textId="77777777" w:rsidR="009F2C03" w:rsidRDefault="009F2C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purpose of the Pupil Development Grant is to improve the educational attainment of pupils from low income families who are entitled to free school meals (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eFSM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). School are expected to maximise the use of this funding by introducing s</w:t>
                      </w:r>
                      <w:r w:rsidR="00F02988">
                        <w:rPr>
                          <w:rFonts w:ascii="Comic Sans MS" w:hAnsi="Comic Sans MS"/>
                        </w:rPr>
                        <w:t>us</w:t>
                      </w:r>
                      <w:r>
                        <w:rPr>
                          <w:rFonts w:ascii="Comic Sans MS" w:hAnsi="Comic Sans MS"/>
                        </w:rPr>
                        <w:t>tainable strategies which will lead to improved outcomes for these pupils.</w:t>
                      </w:r>
                    </w:p>
                    <w:p w14:paraId="2C35FB70" w14:textId="77777777" w:rsidR="009F2C03" w:rsidRDefault="00F0298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For</w:t>
                      </w:r>
                      <w:r w:rsidR="009F2C03">
                        <w:rPr>
                          <w:rFonts w:ascii="Comic Sans MS" w:hAnsi="Comic Sans MS"/>
                        </w:rPr>
                        <w:t xml:space="preserve"> 2025-2026, we have been </w:t>
                      </w:r>
                      <w:r w:rsidR="009F2C03" w:rsidRPr="0017422A">
                        <w:rPr>
                          <w:rFonts w:ascii="Comic Sans MS" w:hAnsi="Comic Sans MS"/>
                        </w:rPr>
                        <w:t>allocated £</w:t>
                      </w:r>
                      <w:r w:rsidR="0017422A" w:rsidRPr="0017422A">
                        <w:rPr>
                          <w:rFonts w:ascii="Comic Sans MS" w:hAnsi="Comic Sans MS"/>
                        </w:rPr>
                        <w:t>196,650</w:t>
                      </w:r>
                      <w:r w:rsidR="009F2C03" w:rsidRPr="0017422A">
                        <w:rPr>
                          <w:rFonts w:ascii="Comic Sans MS" w:hAnsi="Comic Sans MS"/>
                        </w:rPr>
                        <w:t xml:space="preserve"> PDG</w:t>
                      </w:r>
                      <w:r w:rsidR="009F2C03">
                        <w:rPr>
                          <w:rFonts w:ascii="Comic Sans MS" w:hAnsi="Comic Sans MS"/>
                        </w:rPr>
                        <w:t xml:space="preserve"> funding.</w:t>
                      </w:r>
                    </w:p>
                    <w:p w14:paraId="2DFBCDA2" w14:textId="77777777" w:rsidR="009F2C03" w:rsidRDefault="00F02988" w:rsidP="00813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Our focus </w:t>
                      </w:r>
                      <w:r w:rsidR="00813A6B">
                        <w:rPr>
                          <w:rFonts w:ascii="Comic Sans MS" w:hAnsi="Comic Sans MS"/>
                        </w:rPr>
                        <w:t xml:space="preserve">when planning expenditure </w:t>
                      </w:r>
                      <w:r>
                        <w:rPr>
                          <w:rFonts w:ascii="Comic Sans MS" w:hAnsi="Comic Sans MS"/>
                        </w:rPr>
                        <w:t>is based on:</w:t>
                      </w:r>
                    </w:p>
                    <w:p w14:paraId="300C8071" w14:textId="77777777" w:rsidR="00F02988" w:rsidRPr="00813A6B" w:rsidRDefault="00F02988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 xml:space="preserve">Developing high quality teaching and </w:t>
                      </w:r>
                      <w:r w:rsidR="00813A6B" w:rsidRPr="00813A6B">
                        <w:rPr>
                          <w:rFonts w:ascii="Comic Sans MS" w:hAnsi="Comic Sans MS"/>
                        </w:rPr>
                        <w:t>learning</w:t>
                      </w:r>
                    </w:p>
                    <w:p w14:paraId="6AA8388E" w14:textId="77777777" w:rsidR="00F02988" w:rsidRPr="00813A6B" w:rsidRDefault="00F02988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 xml:space="preserve">Developing community </w:t>
                      </w:r>
                      <w:r w:rsidR="00813A6B" w:rsidRPr="00813A6B">
                        <w:rPr>
                          <w:rFonts w:ascii="Comic Sans MS" w:hAnsi="Comic Sans MS"/>
                        </w:rPr>
                        <w:t>focus</w:t>
                      </w:r>
                      <w:r w:rsidRPr="00813A6B">
                        <w:rPr>
                          <w:rFonts w:ascii="Comic Sans MS" w:hAnsi="Comic Sans MS"/>
                        </w:rPr>
                        <w:t xml:space="preserve"> sc</w:t>
                      </w:r>
                      <w:r w:rsidR="00813A6B" w:rsidRPr="00813A6B">
                        <w:rPr>
                          <w:rFonts w:ascii="Comic Sans MS" w:hAnsi="Comic Sans MS"/>
                        </w:rPr>
                        <w:t>hool</w:t>
                      </w:r>
                      <w:r w:rsidRPr="00813A6B">
                        <w:rPr>
                          <w:rFonts w:ascii="Comic Sans MS" w:hAnsi="Comic Sans MS"/>
                        </w:rPr>
                        <w:t>s</w:t>
                      </w:r>
                    </w:p>
                    <w:p w14:paraId="528E80B1" w14:textId="77777777" w:rsidR="00F02988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Developing</w:t>
                      </w:r>
                      <w:r w:rsidR="00F02988" w:rsidRPr="00813A6B">
                        <w:rPr>
                          <w:rFonts w:ascii="Comic Sans MS" w:hAnsi="Comic Sans MS"/>
                        </w:rPr>
                        <w:t xml:space="preserve"> early childhood pla</w:t>
                      </w:r>
                      <w:r w:rsidRPr="00813A6B">
                        <w:rPr>
                          <w:rFonts w:ascii="Comic Sans MS" w:hAnsi="Comic Sans MS"/>
                        </w:rPr>
                        <w:t>y, leaning and care</w:t>
                      </w:r>
                    </w:p>
                    <w:p w14:paraId="3FEBEFBA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Developing high aspiration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813A6B">
                        <w:rPr>
                          <w:rFonts w:ascii="Comic Sans MS" w:hAnsi="Comic Sans MS"/>
                        </w:rPr>
                        <w:t xml:space="preserve"> supported by strong relationships</w:t>
                      </w:r>
                    </w:p>
                    <w:p w14:paraId="59587BD9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Develop health and well-being</w:t>
                      </w:r>
                    </w:p>
                    <w:p w14:paraId="32942666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Leadership</w:t>
                      </w:r>
                    </w:p>
                    <w:p w14:paraId="7891E67A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Developing our approach to Curriculum for Wales</w:t>
                      </w:r>
                    </w:p>
                    <w:p w14:paraId="1043C4D8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Support pupils’ social and emotional well-being</w:t>
                      </w:r>
                    </w:p>
                    <w:p w14:paraId="12E342F3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Improving physical development</w:t>
                      </w:r>
                    </w:p>
                    <w:p w14:paraId="338C2BC3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Developing speech and language and communication skills</w:t>
                      </w:r>
                    </w:p>
                    <w:p w14:paraId="23779642" w14:textId="77777777" w:rsidR="00813A6B" w:rsidRPr="00813A6B" w:rsidRDefault="00813A6B" w:rsidP="00813A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813A6B">
                        <w:rPr>
                          <w:rFonts w:ascii="Comic Sans MS" w:hAnsi="Comic Sans MS"/>
                        </w:rPr>
                        <w:t>Improving the educational attainment of CLA pupils</w:t>
                      </w:r>
                    </w:p>
                    <w:p w14:paraId="3DCC2137" w14:textId="77777777" w:rsidR="009F2C03" w:rsidRDefault="009F2C03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Gwenfro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School has a comprehensive plan, agreed and monitored by Governors and the LA, to promote high expectations, attainment and progress, and to remove barriers to learning for pupil</w:t>
                      </w:r>
                      <w:r w:rsidR="00813A6B"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ascii="Comic Sans MS" w:hAnsi="Comic Sans MS"/>
                        </w:rPr>
                        <w:t xml:space="preserve"> entitled to this funding. </w:t>
                      </w:r>
                    </w:p>
                    <w:p w14:paraId="5B232082" w14:textId="77777777" w:rsidR="009F2C03" w:rsidRPr="0037196D" w:rsidRDefault="009F2C03" w:rsidP="00596675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37196D">
                        <w:rPr>
                          <w:rFonts w:ascii="Comic Sans MS" w:hAnsi="Comic Sans MS"/>
                        </w:rPr>
                        <w:t>Strategies funded by this grant are:</w:t>
                      </w:r>
                    </w:p>
                    <w:p w14:paraId="6DA2F9C9" w14:textId="77777777" w:rsidR="00704A00" w:rsidRPr="0037196D" w:rsidRDefault="00704A00" w:rsidP="00596675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7196D">
                        <w:rPr>
                          <w:sz w:val="22"/>
                          <w:szCs w:val="22"/>
                        </w:rPr>
                        <w:t xml:space="preserve">Improve pupil access and use of digital platforms to support Learning for </w:t>
                      </w:r>
                      <w:proofErr w:type="spellStart"/>
                      <w:r w:rsidR="0037196D" w:rsidRPr="0037196D">
                        <w:rPr>
                          <w:sz w:val="22"/>
                          <w:szCs w:val="22"/>
                        </w:rPr>
                        <w:t>e</w:t>
                      </w:r>
                      <w:r w:rsidRPr="0037196D">
                        <w:rPr>
                          <w:sz w:val="22"/>
                          <w:szCs w:val="22"/>
                        </w:rPr>
                        <w:t>FSM</w:t>
                      </w:r>
                      <w:proofErr w:type="spellEnd"/>
                      <w:r w:rsidRPr="0037196D">
                        <w:rPr>
                          <w:sz w:val="22"/>
                          <w:szCs w:val="22"/>
                        </w:rPr>
                        <w:t xml:space="preserve"> pupils</w:t>
                      </w:r>
                    </w:p>
                    <w:p w14:paraId="205576B4" w14:textId="77777777" w:rsidR="0037196D" w:rsidRPr="0037196D" w:rsidRDefault="0037196D" w:rsidP="0037196D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7196D">
                        <w:rPr>
                          <w:sz w:val="22"/>
                          <w:szCs w:val="22"/>
                        </w:rPr>
                        <w:t xml:space="preserve">Improve class support for pupils who are </w:t>
                      </w:r>
                      <w:proofErr w:type="spellStart"/>
                      <w:r w:rsidRPr="0037196D">
                        <w:rPr>
                          <w:sz w:val="22"/>
                          <w:szCs w:val="22"/>
                        </w:rPr>
                        <w:t>eFSM</w:t>
                      </w:r>
                      <w:proofErr w:type="spellEnd"/>
                    </w:p>
                    <w:p w14:paraId="09B79369" w14:textId="77777777" w:rsidR="0037196D" w:rsidRPr="0037196D" w:rsidRDefault="0037196D" w:rsidP="0037196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37196D">
                        <w:rPr>
                          <w:rFonts w:ascii="Comic Sans MS" w:hAnsi="Comic Sans MS"/>
                        </w:rPr>
                        <w:t>Continue to develop provision to support improved learning opportunities in line with Curriculum for Wales</w:t>
                      </w:r>
                    </w:p>
                    <w:p w14:paraId="629EE993" w14:textId="77777777" w:rsidR="0037196D" w:rsidRPr="0037196D" w:rsidRDefault="0037196D" w:rsidP="0037196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37196D">
                        <w:rPr>
                          <w:rFonts w:ascii="Comic Sans MS" w:hAnsi="Comic Sans MS"/>
                        </w:rPr>
                        <w:t>To continue to support and encourage reading for pleasure</w:t>
                      </w:r>
                    </w:p>
                    <w:p w14:paraId="0573A2B8" w14:textId="77777777" w:rsidR="0037196D" w:rsidRPr="0037196D" w:rsidRDefault="0037196D" w:rsidP="0037196D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7196D">
                        <w:rPr>
                          <w:sz w:val="22"/>
                          <w:szCs w:val="22"/>
                        </w:rPr>
                        <w:t>To continue to develop the role of the Family Engagement Officer in supporting pupils and their families</w:t>
                      </w:r>
                    </w:p>
                    <w:p w14:paraId="4036190D" w14:textId="77777777" w:rsidR="0037196D" w:rsidRPr="0037196D" w:rsidRDefault="0037196D" w:rsidP="0037196D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7196D">
                        <w:rPr>
                          <w:sz w:val="22"/>
                          <w:szCs w:val="22"/>
                        </w:rPr>
                        <w:t xml:space="preserve">To provide financial support families to access curriculum and well-being enrichment  </w:t>
                      </w:r>
                    </w:p>
                    <w:p w14:paraId="766BE801" w14:textId="77777777" w:rsidR="0037196D" w:rsidRPr="0037196D" w:rsidRDefault="0037196D" w:rsidP="0037196D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7196D">
                        <w:rPr>
                          <w:sz w:val="22"/>
                          <w:szCs w:val="22"/>
                        </w:rPr>
                        <w:t xml:space="preserve">Improve pupil’s emotional wellbeing </w:t>
                      </w:r>
                    </w:p>
                    <w:p w14:paraId="24B057DD" w14:textId="77777777" w:rsidR="0037196D" w:rsidRPr="0037196D" w:rsidRDefault="0037196D" w:rsidP="0037196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37196D">
                        <w:rPr>
                          <w:rFonts w:ascii="Comic Sans MS" w:hAnsi="Comic Sans MS"/>
                        </w:rPr>
                        <w:t>To continue to develop provision to support self-regulation and emotional well-being of pupils</w:t>
                      </w:r>
                    </w:p>
                    <w:p w14:paraId="1C278989" w14:textId="77777777" w:rsidR="0037196D" w:rsidRPr="0037196D" w:rsidRDefault="0037196D" w:rsidP="0037196D">
                      <w:pPr>
                        <w:pStyle w:val="BodyTextIndent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33D414DA" w14:textId="77777777" w:rsidR="0037196D" w:rsidRPr="0037196D" w:rsidRDefault="0037196D" w:rsidP="0037196D">
                      <w:pPr>
                        <w:pStyle w:val="BodyTextIndent"/>
                        <w:ind w:left="0"/>
                        <w:rPr>
                          <w:sz w:val="20"/>
                        </w:rPr>
                      </w:pPr>
                    </w:p>
                    <w:p w14:paraId="6A30BEFE" w14:textId="77777777" w:rsidR="0037196D" w:rsidRPr="0037196D" w:rsidRDefault="0037196D" w:rsidP="0037196D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B1C0145" w14:textId="77777777" w:rsidR="0037196D" w:rsidRPr="0037196D" w:rsidRDefault="0037196D" w:rsidP="0037196D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C699C98" w14:textId="77777777" w:rsidR="0037196D" w:rsidRPr="0037196D" w:rsidRDefault="0037196D" w:rsidP="0037196D">
                      <w:pPr>
                        <w:pStyle w:val="BodyTextIndent"/>
                        <w:ind w:left="0"/>
                        <w:rPr>
                          <w:sz w:val="20"/>
                          <w:szCs w:val="20"/>
                        </w:rPr>
                      </w:pPr>
                      <w:r w:rsidRPr="003719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C03">
        <w:rPr>
          <w:noProof/>
          <w:lang w:eastAsia="en-GB"/>
        </w:rPr>
        <w:drawing>
          <wp:inline distT="0" distB="0" distL="0" distR="0" wp14:anchorId="4E03D162" wp14:editId="03847E2A">
            <wp:extent cx="1110003" cy="1066800"/>
            <wp:effectExtent l="0" t="0" r="0" b="0"/>
            <wp:docPr id="4" name="Picture 4" descr="Gwenfro revi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wenfro revis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32" cy="1098447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6F0" w:rsidRPr="00056209">
      <w:pgSz w:w="1189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482F"/>
    <w:multiLevelType w:val="hybridMultilevel"/>
    <w:tmpl w:val="C880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7625B"/>
    <w:multiLevelType w:val="hybridMultilevel"/>
    <w:tmpl w:val="FBAEFC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52A7"/>
    <w:multiLevelType w:val="hybridMultilevel"/>
    <w:tmpl w:val="257C6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67A26"/>
    <w:multiLevelType w:val="hybridMultilevel"/>
    <w:tmpl w:val="42A06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0"/>
    <w:rsid w:val="00024EEF"/>
    <w:rsid w:val="00056209"/>
    <w:rsid w:val="00111D88"/>
    <w:rsid w:val="001416F0"/>
    <w:rsid w:val="0017422A"/>
    <w:rsid w:val="001D2E25"/>
    <w:rsid w:val="00244F19"/>
    <w:rsid w:val="0037196D"/>
    <w:rsid w:val="00596675"/>
    <w:rsid w:val="005F1900"/>
    <w:rsid w:val="00704A00"/>
    <w:rsid w:val="00813A6B"/>
    <w:rsid w:val="00853D02"/>
    <w:rsid w:val="008D03F2"/>
    <w:rsid w:val="0092544E"/>
    <w:rsid w:val="009334AF"/>
    <w:rsid w:val="009F2C03"/>
    <w:rsid w:val="00A74CBE"/>
    <w:rsid w:val="00AF69C9"/>
    <w:rsid w:val="00B16014"/>
    <w:rsid w:val="00C50B00"/>
    <w:rsid w:val="00D03FB9"/>
    <w:rsid w:val="00D52DD1"/>
    <w:rsid w:val="00F02988"/>
    <w:rsid w:val="00F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832A"/>
  <w15:docId w15:val="{612B21D2-1D8D-4FC4-9B77-4D1E19C1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03FB9"/>
    <w:pPr>
      <w:suppressAutoHyphens/>
      <w:spacing w:after="0" w:line="240" w:lineRule="auto"/>
      <w:ind w:left="-1134"/>
    </w:pPr>
    <w:rPr>
      <w:rFonts w:ascii="Comic Sans MS" w:eastAsia="Times New Roman" w:hAnsi="Comic Sans MS" w:cs="Times New Roman"/>
      <w:color w:val="auto"/>
      <w:sz w:val="16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03FB9"/>
    <w:rPr>
      <w:rFonts w:ascii="Comic Sans MS" w:eastAsia="Times New Roman" w:hAnsi="Comic Sans MS" w:cs="Times New Roman"/>
      <w:sz w:val="16"/>
      <w:szCs w:val="24"/>
      <w:lang w:eastAsia="ar-SA"/>
    </w:rPr>
  </w:style>
  <w:style w:type="paragraph" w:styleId="NoSpacing">
    <w:name w:val="No Spacing"/>
    <w:uiPriority w:val="1"/>
    <w:qFormat/>
    <w:rsid w:val="008D03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F56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03"/>
    <w:rPr>
      <w:rFonts w:ascii="Segoe UI" w:eastAsia="Calibri" w:hAnsi="Segoe UI" w:cs="Segoe UI"/>
      <w:color w:val="000000"/>
      <w:sz w:val="18"/>
      <w:szCs w:val="18"/>
    </w:rPr>
  </w:style>
  <w:style w:type="paragraph" w:customStyle="1" w:styleId="WW-BodyTextIndent2">
    <w:name w:val="WW-Body Text Indent 2"/>
    <w:basedOn w:val="Normal"/>
    <w:rsid w:val="009F2C03"/>
    <w:pPr>
      <w:suppressAutoHyphens/>
      <w:spacing w:after="0" w:line="240" w:lineRule="auto"/>
      <w:ind w:left="-1418"/>
    </w:pPr>
    <w:rPr>
      <w:rFonts w:ascii="Comic Sans MS" w:eastAsia="Times New Roman" w:hAnsi="Comic Sans MS" w:cs="Times New Roman"/>
      <w:color w:val="auto"/>
      <w:sz w:val="20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F2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Gwenfro Community Primary Schools’ Pupil Deprivation Grant Statement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Gwenfro Community Primary Schools’ Pupil Deprivation Grant Statement</dc:title>
  <dc:subject/>
  <dc:creator>lisa evans</dc:creator>
  <cp:keywords/>
  <cp:lastModifiedBy>Codie Slack</cp:lastModifiedBy>
  <cp:revision>2</cp:revision>
  <cp:lastPrinted>2025-09-22T14:54:00Z</cp:lastPrinted>
  <dcterms:created xsi:type="dcterms:W3CDTF">2025-09-24T13:38:00Z</dcterms:created>
  <dcterms:modified xsi:type="dcterms:W3CDTF">2025-09-24T13:38:00Z</dcterms:modified>
</cp:coreProperties>
</file>